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9E06" w14:textId="42986E73" w:rsidR="004D5836" w:rsidRPr="006053FB" w:rsidRDefault="004D5836">
      <w:pPr>
        <w:rPr>
          <w:rFonts w:ascii="Times New Roman" w:hAnsi="Times New Roman" w:cs="Times New Roman"/>
          <w:sz w:val="20"/>
          <w:szCs w:val="20"/>
        </w:rPr>
      </w:pPr>
    </w:p>
    <w:p w14:paraId="5344A348" w14:textId="252B11D4" w:rsidR="005E6758" w:rsidRPr="005E6758" w:rsidRDefault="005E6758" w:rsidP="005E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E675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"/var/folders/kn/f1mjtcns6jgfhhb7sk8gtm7w0000gn/T/com.microsoft.Word/WebArchiveCopyPasteTempFiles/kzps-logo.png" \* MERGEFORMATINET </w:instrText>
      </w:r>
      <w:r w:rsidRPr="005E67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E675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780CCFB" wp14:editId="67222D27">
            <wp:extent cx="2336800" cy="773430"/>
            <wp:effectExtent l="0" t="0" r="0" b="127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7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13D196F" w14:textId="35B73D6D" w:rsidR="004D5836" w:rsidRPr="006053FB" w:rsidRDefault="004D5836" w:rsidP="005E67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057538" w14:textId="77777777" w:rsidR="004D5836" w:rsidRPr="006053FB" w:rsidRDefault="004D5836" w:rsidP="004D5836">
      <w:pPr>
        <w:rPr>
          <w:rFonts w:ascii="Times New Roman" w:hAnsi="Times New Roman" w:cs="Times New Roman"/>
          <w:sz w:val="20"/>
          <w:szCs w:val="20"/>
        </w:rPr>
      </w:pPr>
    </w:p>
    <w:p w14:paraId="3C6E9A2B" w14:textId="02705D0A" w:rsidR="00FB4ABA" w:rsidRPr="00F1100D" w:rsidRDefault="00CA328D" w:rsidP="004D5836">
      <w:pPr>
        <w:tabs>
          <w:tab w:val="left" w:pos="9612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F1100D">
        <w:rPr>
          <w:rFonts w:ascii="Times New Roman" w:hAnsi="Times New Roman" w:cs="Times New Roman"/>
          <w:b/>
          <w:caps/>
          <w:sz w:val="20"/>
          <w:szCs w:val="20"/>
          <w:u w:val="single"/>
        </w:rPr>
        <w:t>PŘÍLOHA č: 1</w:t>
      </w:r>
    </w:p>
    <w:p w14:paraId="56AC277A" w14:textId="3DC63CB3" w:rsidR="004D5836" w:rsidRPr="006053FB" w:rsidRDefault="004D5836" w:rsidP="00ED019D">
      <w:pPr>
        <w:rPr>
          <w:rFonts w:ascii="Times New Roman" w:hAnsi="Times New Roman" w:cs="Times New Roman"/>
          <w:b/>
          <w:sz w:val="20"/>
          <w:szCs w:val="20"/>
        </w:rPr>
      </w:pPr>
      <w:r w:rsidRPr="006053FB">
        <w:rPr>
          <w:rFonts w:ascii="Times New Roman" w:hAnsi="Times New Roman" w:cs="Times New Roman"/>
          <w:b/>
          <w:caps/>
          <w:sz w:val="20"/>
          <w:szCs w:val="20"/>
        </w:rPr>
        <w:t>připomínkY k materiálu s názvem:</w:t>
      </w:r>
      <w:r w:rsidR="00F23C4E" w:rsidRPr="006053FB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ED019D" w:rsidRPr="00ED019D">
        <w:rPr>
          <w:rFonts w:ascii="Times New Roman" w:hAnsi="Times New Roman" w:cs="Times New Roman"/>
          <w:b/>
          <w:sz w:val="20"/>
          <w:szCs w:val="20"/>
        </w:rPr>
        <w:t xml:space="preserve">Teze pro změnu liniového zákona za účelem podpory klimatu a energetické bezpečnosti ČR (pro podporu výstavby nízkouhlíkových výroben energie, dosažení uhlíkové neutrality a dalších záměrů podporujících dekarbonizaci </w:t>
      </w:r>
      <w:proofErr w:type="gramStart"/>
      <w:r w:rsidR="00ED019D" w:rsidRPr="00ED019D">
        <w:rPr>
          <w:rFonts w:ascii="Times New Roman" w:hAnsi="Times New Roman" w:cs="Times New Roman"/>
          <w:b/>
          <w:sz w:val="20"/>
          <w:szCs w:val="20"/>
        </w:rPr>
        <w:t>hospodářství)</w:t>
      </w:r>
      <w:r w:rsidR="007B1F6B" w:rsidRPr="006053FB">
        <w:rPr>
          <w:rFonts w:ascii="Times New Roman" w:hAnsi="Times New Roman" w:cs="Times New Roman"/>
          <w:b/>
          <w:sz w:val="20"/>
          <w:szCs w:val="20"/>
        </w:rPr>
        <w:t>Obecná</w:t>
      </w:r>
      <w:proofErr w:type="gramEnd"/>
      <w:r w:rsidR="007B1F6B" w:rsidRPr="006053FB">
        <w:rPr>
          <w:rFonts w:ascii="Times New Roman" w:hAnsi="Times New Roman" w:cs="Times New Roman"/>
          <w:b/>
          <w:sz w:val="20"/>
          <w:szCs w:val="20"/>
        </w:rPr>
        <w:t xml:space="preserve"> připomínka</w:t>
      </w:r>
    </w:p>
    <w:p w14:paraId="78C265DD" w14:textId="77777777" w:rsidR="007B1F6B" w:rsidRPr="006053FB" w:rsidRDefault="007B1F6B" w:rsidP="007B1F6B">
      <w:pPr>
        <w:pStyle w:val="Zkladntext"/>
        <w:rPr>
          <w:rFonts w:ascii="Times New Roman" w:hAnsi="Times New Roman" w:cs="Times New Roman"/>
          <w:b/>
          <w:caps/>
          <w:sz w:val="20"/>
          <w:szCs w:val="20"/>
        </w:rPr>
      </w:pPr>
    </w:p>
    <w:p w14:paraId="25735867" w14:textId="77777777" w:rsidR="004D5836" w:rsidRPr="0008155F" w:rsidRDefault="004D5836" w:rsidP="004D5836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8155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Zásadní připomínky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565"/>
        <w:gridCol w:w="6662"/>
      </w:tblGrid>
      <w:tr w:rsidR="0090787A" w:rsidRPr="006053FB" w14:paraId="7C8DB3ED" w14:textId="77777777" w:rsidTr="002C3651">
        <w:trPr>
          <w:trHeight w:val="3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131C2B" w14:textId="69693FEF" w:rsidR="0090787A" w:rsidRPr="006053FB" w:rsidRDefault="00ED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Člen uplatňující připomínku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37C3D2" w14:textId="77777777" w:rsidR="0090787A" w:rsidRPr="006053FB" w:rsidRDefault="0090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Připomínka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FFD86" w14:textId="77777777" w:rsidR="0090787A" w:rsidRPr="006053FB" w:rsidRDefault="0090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Zdůvodnění</w:t>
            </w:r>
          </w:p>
        </w:tc>
      </w:tr>
      <w:tr w:rsidR="00A60CCE" w:rsidRPr="006053FB" w14:paraId="399091B5" w14:textId="77777777" w:rsidTr="002C3651">
        <w:trPr>
          <w:trHeight w:val="3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57D" w14:textId="47032A8B" w:rsidR="00A60CCE" w:rsidRPr="006053FB" w:rsidRDefault="00ED0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hAnsi="Times New Roman" w:cs="Times New Roman"/>
                <w:sz w:val="20"/>
                <w:szCs w:val="20"/>
              </w:rPr>
              <w:t>Zaměstnavatelský svaz důlního a naftového průmyslu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487" w14:textId="7CC9C7C4" w:rsidR="00ED019D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 účelem dosažení evropských a národních cílů k dosažení uhlíkové neutrality v souladu s mezinárodními a národními závazky NAVRHUJEME, </w:t>
            </w:r>
            <w:r w:rsidRPr="00ED01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aby se návrh předkládaných tezí vztahoval i na oblast zachytávání a ukládání oxidu uhličitého do horninových struktur.</w:t>
            </w:r>
          </w:p>
          <w:p w14:paraId="414EEEB5" w14:textId="64019B91" w:rsidR="00ED019D" w:rsidRPr="00ED019D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Konkrétní úpravy</w:t>
            </w: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textu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materiálu jsou obsaženy v příloze č. 1 těchto připomínek, a jsou uplatněny </w:t>
            </w: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formou revizí.</w:t>
            </w:r>
          </w:p>
          <w:p w14:paraId="04066626" w14:textId="608E75EA" w:rsidR="00ED019D" w:rsidRPr="00ED019D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Současně do výčtu předpokládaných dotčených právních předpisů navrhujeme doplnit:</w:t>
            </w:r>
          </w:p>
          <w:p w14:paraId="04896B6B" w14:textId="77777777" w:rsidR="00ED019D" w:rsidRPr="00ED019D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a)</w:t>
            </w: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Zákon č. 85/2012, o ukládání oxidu uhličitého do přírodních horninových struktur a o změně některých zákonů</w:t>
            </w:r>
          </w:p>
          <w:p w14:paraId="0F001382" w14:textId="26EA9069" w:rsidR="00ED019D" w:rsidRPr="00ED019D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b)</w:t>
            </w: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Zákon č. 62/1988 Sb., o geologických pracích</w:t>
            </w:r>
          </w:p>
          <w:p w14:paraId="6AD80FEB" w14:textId="0A4D3AB3" w:rsidR="00A60CCE" w:rsidRPr="006053FB" w:rsidRDefault="00A60CCE" w:rsidP="0098076F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716" w14:textId="77777777" w:rsidR="00ED019D" w:rsidRPr="00ED019D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Technologie zachytávání a ukládání oxidu uhličitého do horninových struktur představuje významný nástroj ke snižování obsahu oxidu uhličitého, zejména jeho produkce z průmyslových odvětví, u nichž dle aktuálního stupně technologického vývoje není možné efektivně a ekonomicky dosáhnout snižování produkce CO2.</w:t>
            </w:r>
          </w:p>
          <w:p w14:paraId="69426223" w14:textId="77777777" w:rsidR="00ED019D" w:rsidRPr="00ED019D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Evropská rada na zasedání v březnu 2007 vyzvala členské státy a Komisi, mimo jiné, k odstranění právních překážek a vypracování předpisového rámce k zavedení CCS (</w:t>
            </w:r>
            <w:proofErr w:type="spellStart"/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carbon</w:t>
            </w:r>
            <w:proofErr w:type="spellEnd"/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capture</w:t>
            </w:r>
            <w:proofErr w:type="spellEnd"/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storage</w:t>
            </w:r>
            <w:proofErr w:type="spellEnd"/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) a dále Evropská rada na zasedání v červnu 2008 vyzvala Komisi, aby navrhla mechanismus, který bude motivovat členské státy a soukromý sektor k vybudování a provozu úložišť.</w:t>
            </w:r>
          </w:p>
          <w:p w14:paraId="32BBCF54" w14:textId="77777777" w:rsidR="00ED019D" w:rsidRPr="00ED019D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Česká republika přijala zákon č. 85/2012, o ukládání oxidu uhličitého do přírodních horninových struktur a o změně některých zákonů, kterým je implementována Směrnice Evropského parlamentu a Rady 2009/31/ES ze dne 23. dubna 2009 o geologickém ukládání oxidu uhličitého a o změně směrnice Rady 85/337/EHS. Ukládání oxidu uhličitého do horninových struktur je dle zákona č. 44/1988 Sb., resp. zákona č. 61/1988 Sb. hornickou činností a podléhá </w:t>
            </w: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povolování státní báňskou správou. Vyhledávání a průzkum horninových struktur pro ukládání oxidu uhličitého (geologické práce) pak upravuje zákon č. 62/1988 Sb., o geologických pracích.</w:t>
            </w:r>
          </w:p>
          <w:p w14:paraId="6A0D9198" w14:textId="77777777" w:rsidR="00ED019D" w:rsidRPr="00ED019D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D8F63D" w14:textId="5F83F56E" w:rsidR="00ED019D" w:rsidRPr="00ED019D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Uhlíkové neutrality může být dosaženo výlučně kombinací opatření, a to především snižováním podílu fosilních paliv, efektivním energetickým mixem, zachytáváním CO2 a jeho ukládáním do horninových struktur. </w:t>
            </w:r>
          </w:p>
          <w:p w14:paraId="7DE79D75" w14:textId="436084C3" w:rsidR="00A60CCE" w:rsidRPr="006053FB" w:rsidRDefault="00ED019D" w:rsidP="00ED019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Aktuální právní úprava a časový rámec legislativních procesů znemožňují realizaci případných enviromentálních projektů v oblasti zachytávání a ukládání oxidu uhličitého do geologických formací. S ohledem na vázanost místa úložiště na geologickou stavbu území a jeho nepřemístitelnost a současně nutnost zachytávání CO2 v místě existujících průmyslových provozů (např. cementárny) je nezbytným mimo jiné realizace produktovodů, propojujících místo vzniku CO2 s místem jeho uložení. Bude se jednat o liniové stavby v řádu desítek kilometrů délky, které aktuálně nemají speciální zákonnou úpravu v podobě možného omezení vlastnického práva k pozemkům, která je pro jiné typy energetických liniových staveb v Českém právním řádu zakotvena.</w:t>
            </w:r>
          </w:p>
        </w:tc>
      </w:tr>
      <w:tr w:rsidR="00802DA6" w:rsidRPr="006053FB" w14:paraId="05FDE494" w14:textId="77777777" w:rsidTr="002C3651">
        <w:trPr>
          <w:trHeight w:val="3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511" w14:textId="036B8AAC" w:rsidR="00802DA6" w:rsidRPr="006053FB" w:rsidRDefault="00ED019D" w:rsidP="0080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Zaměstnavatelský svaz důlního a naftového průmyslu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F60" w14:textId="77777777" w:rsidR="002C3651" w:rsidRDefault="002C3651" w:rsidP="002C3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6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NAVRHUJEME doplnění textu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 tak, aby byl v souladu s jeho smyslem a účelem, tzn. procesní ukotvení jednotlivých záměrů a staveb </w:t>
            </w:r>
            <w:r w:rsidRPr="002C3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včetně zajištění surovin nezbytných pro tyto záměry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7171A0C" w14:textId="77777777" w:rsidR="002C3651" w:rsidRPr="00ED019D" w:rsidRDefault="002C3651" w:rsidP="002C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Konkrétní úpravy</w:t>
            </w: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textu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materiálu jsou obsaženy v příloze č. 1 těchto připomínek, a jsou uplatněny </w:t>
            </w:r>
            <w:r w:rsidRPr="00ED019D">
              <w:rPr>
                <w:rFonts w:ascii="Times New Roman" w:eastAsia="Calibri" w:hAnsi="Times New Roman" w:cs="Times New Roman"/>
                <w:sz w:val="20"/>
                <w:szCs w:val="20"/>
              </w:rPr>
              <w:t>formou revizí.</w:t>
            </w:r>
          </w:p>
          <w:p w14:paraId="78909CF4" w14:textId="152602D3" w:rsidR="002C3651" w:rsidRPr="002C3651" w:rsidRDefault="002C3651" w:rsidP="002C3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>Současně navrhované úpravy uvádíme níže.</w:t>
            </w:r>
          </w:p>
          <w:p w14:paraId="5EE24190" w14:textId="4B954CE0" w:rsidR="002C3651" w:rsidRDefault="002C3651" w:rsidP="002C3651">
            <w:pPr>
              <w:pStyle w:val="Odstavecseseznamem"/>
              <w:numPr>
                <w:ilvl w:val="0"/>
                <w:numId w:val="15"/>
              </w:numPr>
              <w:suppressAutoHyphens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3651">
              <w:rPr>
                <w:rFonts w:ascii="Times New Roman" w:hAnsi="Times New Roman" w:cs="Times New Roman"/>
                <w:bCs/>
                <w:sz w:val="20"/>
                <w:szCs w:val="20"/>
              </w:rPr>
              <w:t>Základní principy rozhodování orgánů státní báňské správy</w:t>
            </w:r>
            <w:r w:rsidRPr="002C3651" w:rsidDel="004313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36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budou kopírovat procesní postup pro 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>ostatní</w:t>
            </w:r>
            <w:r w:rsidRPr="002C36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uvažované záměry na SOSÚ </w:t>
            </w:r>
            <w:r w:rsidRPr="002C36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včetně přednostního projednání a zkrácení lhůt</w:t>
            </w:r>
            <w:r w:rsidRPr="002C365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9B31B4C" w14:textId="77777777" w:rsidR="002C3651" w:rsidRPr="002C3651" w:rsidRDefault="002C3651" w:rsidP="002C3651">
            <w:pPr>
              <w:pStyle w:val="Odstavecseseznamem"/>
              <w:suppressAutoHyphens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FA1425" w14:textId="77777777" w:rsidR="002C3651" w:rsidRPr="002C3651" w:rsidRDefault="002C3651" w:rsidP="002C3651">
            <w:pPr>
              <w:pStyle w:val="Odstavecseseznamem"/>
              <w:numPr>
                <w:ilvl w:val="0"/>
                <w:numId w:val="15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Bude prověřena možnost zavedení konzultativního postavení ekologických spolků v navazujících řízeních podle stavebního zákona </w:t>
            </w:r>
            <w:r w:rsidRPr="002C365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 horního zákona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. Spolkům by zůstala plná možnost vznášet věcné připomínky, které bude správní orgán povinen vypořádat, avšak nebudou mít procesní postavení účastníka řízení podle stavebního 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zákona </w:t>
            </w:r>
            <w:r w:rsidRPr="002C365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 podle horního zákona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>, tj. například nebudou moci vznést námitky podjatosti, podat odvolání atd.</w:t>
            </w:r>
          </w:p>
          <w:p w14:paraId="1CE39953" w14:textId="77777777" w:rsidR="002C3651" w:rsidRPr="002C3651" w:rsidRDefault="002C3651" w:rsidP="002C3651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DBC5F" w14:textId="77777777" w:rsidR="002C3651" w:rsidRPr="002C3651" w:rsidRDefault="002C3651" w:rsidP="002C3651">
            <w:pPr>
              <w:pStyle w:val="Odstavecseseznamem"/>
              <w:numPr>
                <w:ilvl w:val="0"/>
                <w:numId w:val="15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Ve vztahu k ochraně veřejných zájmů podle složkových právních předpisů (mimo stanoviska JES) a procesu EIA nebudou vydávána závazná stanoviska, ale podkladová vyjádření tak, aby stavební úřad </w:t>
            </w:r>
            <w:r w:rsidRPr="002C365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nebo báňský úřad</w:t>
            </w:r>
            <w:r w:rsidRPr="002C36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>mohl řešit veřejné zájmy komplexně a nebyl dogmaticky vázán závazným stanoviskem.</w:t>
            </w:r>
          </w:p>
          <w:p w14:paraId="0CB083B3" w14:textId="77777777" w:rsidR="002C3651" w:rsidRPr="002C3651" w:rsidRDefault="002C3651" w:rsidP="002C3651">
            <w:pPr>
              <w:pStyle w:val="Odstavecseseznamem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90ED1" w14:textId="272AF7FF" w:rsidR="002C3651" w:rsidRDefault="002C3651" w:rsidP="002C3651">
            <w:pPr>
              <w:pStyle w:val="Odstavecseseznamem"/>
              <w:numPr>
                <w:ilvl w:val="0"/>
                <w:numId w:val="15"/>
              </w:numPr>
              <w:suppressAutoHyphens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Bude prověřeno, aby při vydání podkladových správních aktů pro uvažované záměry (včetně souvisejících staveb) např. vynětí ze ZPF či PUPFL, zvláštní užívání komunikací, </w:t>
            </w:r>
            <w:r w:rsidRPr="002C365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kácení dřevin rostoucích mimo les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 nebyl vyžadován souhlas vlastníka pozemku se záměrem, lze-li práva k pozemkům vyvlastnit nebo zřídit zákonné věcné břemeno.</w:t>
            </w:r>
          </w:p>
          <w:p w14:paraId="3678ACC2" w14:textId="77777777" w:rsidR="002C3651" w:rsidRPr="002C3651" w:rsidRDefault="002C3651" w:rsidP="002C3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A48E2" w14:textId="77777777" w:rsidR="002C3651" w:rsidRPr="002C3651" w:rsidRDefault="002C3651" w:rsidP="002C3651">
            <w:pPr>
              <w:pStyle w:val="Odstavecseseznamem"/>
              <w:numPr>
                <w:ilvl w:val="0"/>
                <w:numId w:val="15"/>
              </w:numPr>
              <w:suppressAutoHyphens w:val="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Zákonná úprava stanoví, že vláda nařízením definuje, jaké nerostné suroviny jsou potřebné k transformaci hospodářství </w:t>
            </w:r>
            <w:r w:rsidRPr="002C365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 realizaci staveb k transformaci hospodářství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, přičemž bude vycházet z již identifikovaných strategických surovin v České republice a Evropské unii (Surovinová politika) </w:t>
            </w:r>
            <w:r w:rsidRPr="002C365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 surovinových potřeb záměrů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1B6D61" w14:textId="77777777" w:rsidR="00C93675" w:rsidRPr="006053FB" w:rsidRDefault="00C93675" w:rsidP="002C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49366C" w14:textId="526A3185" w:rsidR="00802DA6" w:rsidRPr="006053FB" w:rsidRDefault="00802DA6" w:rsidP="002C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9CDA" w14:textId="2D043894" w:rsidR="002C3651" w:rsidRPr="002C3651" w:rsidRDefault="002C3651" w:rsidP="002C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elmi oceňujeme komplexnost přijímaného řešení. Správní řízení za účelem stanovení dobývacího prostoru a povolení otvírky, přípravy a dobývání nerostných surovin jsou obsaženy především v zákoně č. 44/1988 Sb. a č. 61/1988 Sb. Navrhovaný dokument </w:t>
            </w:r>
            <w:r w:rsidRPr="002C3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 některých odstavcích odkazuje výlučně na postupy dle stavebního zákona</w:t>
            </w:r>
            <w:r w:rsidRPr="002C36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 zajištění surovin nezbytných pro záměry plánované tezemi, je potřeba upravit i další právní předpisy.</w:t>
            </w:r>
          </w:p>
          <w:p w14:paraId="6797002E" w14:textId="77777777" w:rsidR="002C3651" w:rsidRPr="002C3651" w:rsidRDefault="002C3651" w:rsidP="002C3651">
            <w:pPr>
              <w:spacing w:line="29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99E61" w14:textId="106AD40A" w:rsidR="004D0616" w:rsidRPr="002C3651" w:rsidRDefault="004D0616" w:rsidP="009C410B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DA6" w:rsidRPr="006053FB" w14:paraId="0247BED4" w14:textId="77777777" w:rsidTr="002C3651">
        <w:trPr>
          <w:trHeight w:val="3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473" w14:textId="38045B0D" w:rsidR="00802DA6" w:rsidRPr="006053FB" w:rsidRDefault="002B7885" w:rsidP="0080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885">
              <w:rPr>
                <w:rFonts w:ascii="Times New Roman" w:eastAsia="Calibri" w:hAnsi="Times New Roman" w:cs="Times New Roman"/>
                <w:sz w:val="20"/>
                <w:szCs w:val="20"/>
              </w:rPr>
              <w:t>Zemědělský svaz ČR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B74" w14:textId="25DBC778" w:rsidR="002B7885" w:rsidRDefault="002B7885" w:rsidP="002B7885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Zajistit</w:t>
            </w:r>
            <w:r w:rsidR="0039368C">
              <w:rPr>
                <w:rFonts w:ascii="Times New Roman" w:eastAsia="Calibri" w:hAnsi="Times New Roman" w:cs="Times New Roman"/>
                <w:sz w:val="20"/>
                <w:szCs w:val="20"/>
              </w:rPr>
              <w:t>, aby přijetím plánované právní úpravy nedošlo ke snížení úrovně ochrany zemědělského půdního fondu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2BB72F" w14:textId="77FAC0A3" w:rsidR="00C93675" w:rsidRPr="00C93675" w:rsidRDefault="002B7885" w:rsidP="002B7885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B78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3E2" w14:textId="702885AC" w:rsidR="00802DA6" w:rsidRPr="006053FB" w:rsidRDefault="002B7885" w:rsidP="002B7885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 6.a 7. odstavci na straně 4 Tezí je zmínka o ZPF, ovšem vyznívá spíše proti záměru ochrany ZPF, což ve svém důsledku staví </w:t>
            </w:r>
            <w:r w:rsidR="0039368C">
              <w:rPr>
                <w:rFonts w:ascii="Times New Roman" w:eastAsia="Calibri" w:hAnsi="Times New Roman" w:cs="Times New Roman"/>
                <w:sz w:val="20"/>
                <w:szCs w:val="20"/>
              </w:rPr>
              <w:t>materiál</w:t>
            </w:r>
            <w:r w:rsidRPr="002B7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proti zákonu č. 334/1992 Sb., o ochraně zemědělského půdního fondu.</w:t>
            </w:r>
          </w:p>
        </w:tc>
      </w:tr>
    </w:tbl>
    <w:p w14:paraId="753DA3EF" w14:textId="0CEDC568" w:rsidR="004D5836" w:rsidRDefault="004D5836" w:rsidP="004D583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50ED2A7" w14:textId="5C66BA48" w:rsidR="0008155F" w:rsidRPr="0008155F" w:rsidRDefault="0008155F" w:rsidP="0008155F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8155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Doporučující připomínky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565"/>
        <w:gridCol w:w="6662"/>
      </w:tblGrid>
      <w:tr w:rsidR="0008155F" w:rsidRPr="006053FB" w14:paraId="1E813CEF" w14:textId="77777777" w:rsidTr="007623DF">
        <w:trPr>
          <w:trHeight w:val="3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68CB95" w14:textId="77777777" w:rsidR="0008155F" w:rsidRPr="006053FB" w:rsidRDefault="0008155F" w:rsidP="007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Člen uplatňující připomínku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56E3D4" w14:textId="77777777" w:rsidR="0008155F" w:rsidRPr="006053FB" w:rsidRDefault="0008155F" w:rsidP="007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Připomínka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6F078B" w14:textId="77777777" w:rsidR="0008155F" w:rsidRPr="006053FB" w:rsidRDefault="0008155F" w:rsidP="007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Zdůvodnění</w:t>
            </w:r>
          </w:p>
        </w:tc>
      </w:tr>
      <w:tr w:rsidR="0008155F" w:rsidRPr="006053FB" w14:paraId="0ED15B0A" w14:textId="77777777" w:rsidTr="007623DF">
        <w:trPr>
          <w:trHeight w:val="3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3B4" w14:textId="77777777" w:rsidR="0008155F" w:rsidRPr="006053FB" w:rsidRDefault="0008155F" w:rsidP="00762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Zaměstnavatelský svaz důlního a naftového průmyslu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7C5" w14:textId="56F9873E" w:rsidR="0008155F" w:rsidRPr="006053FB" w:rsidRDefault="0008155F" w:rsidP="007623DF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Doporučujeme</w:t>
            </w:r>
            <w:r w:rsidRPr="000815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navrhovanou úpravu rozšířit o těžbu nerostů pro strategické dopravní stavby při zachování navrhovaných principů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05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9FE" w14:textId="77777777" w:rsidR="0008155F" w:rsidRDefault="0008155F" w:rsidP="007623DF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55F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  <w:r w:rsidRPr="0008155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Těžební unie, na základě požadavku Ředitelství silnic a dálnic a Správy železnic dokončuje ve spolupráci s Českou geologickou službou projekt (analýzu) možných zdrojů nerostných surovin pro plánované strategické dopravní stavby na území ČR včetně analýzy možného způsobu urychlení legislativních procesů k otvírce nových ložisek pro tyto strategické dopravní stavby. O projektu byly informovány Ministerstvo dopravy a Ministerstvo průmyslu a obchodu. </w:t>
            </w:r>
          </w:p>
          <w:p w14:paraId="1C1C901D" w14:textId="1212B652" w:rsidR="0008155F" w:rsidRPr="006053FB" w:rsidRDefault="0008155F" w:rsidP="007623DF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08155F">
              <w:rPr>
                <w:rFonts w:ascii="Times New Roman" w:eastAsia="Calibri" w:hAnsi="Times New Roman" w:cs="Times New Roman"/>
                <w:sz w:val="20"/>
                <w:szCs w:val="20"/>
              </w:rPr>
              <w:t>ředběžné závěry analýzy navrhují úpravu zákona č. 416/2009 Sb. tak, aby bylo možné pro otvírku ložisek za účelem zajištění surovin pro dopravní stavby ve veřejném zájmu aplikovat totožné principy, jako pro samotné dopravní stavby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815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dáváme tímto na zvážení, zda navrhovanou úpravu nerozšířit o těžbu nerostů pro strategické dopravní stavby při zachování navrhovaných principů.</w:t>
            </w:r>
          </w:p>
        </w:tc>
      </w:tr>
    </w:tbl>
    <w:p w14:paraId="6F6233C4" w14:textId="77777777" w:rsidR="0008155F" w:rsidRPr="006053FB" w:rsidRDefault="0008155F" w:rsidP="004D583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8C70A33" w14:textId="579056FD" w:rsidR="004D5836" w:rsidRDefault="004D5836" w:rsidP="004D583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53FB">
        <w:rPr>
          <w:rFonts w:ascii="Times New Roman" w:hAnsi="Times New Roman" w:cs="Times New Roman"/>
          <w:sz w:val="20"/>
          <w:szCs w:val="20"/>
        </w:rPr>
        <w:t>V </w:t>
      </w:r>
      <w:r w:rsidRPr="006053FB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aze"/>
            </w:textInput>
          </w:ffData>
        </w:fldChar>
      </w:r>
      <w:r w:rsidRPr="006053FB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6053FB">
        <w:rPr>
          <w:rFonts w:ascii="Times New Roman" w:hAnsi="Times New Roman" w:cs="Times New Roman"/>
          <w:bCs/>
          <w:sz w:val="20"/>
          <w:szCs w:val="20"/>
        </w:rPr>
      </w:r>
      <w:r w:rsidRPr="006053FB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6053FB">
        <w:rPr>
          <w:rFonts w:ascii="Times New Roman" w:hAnsi="Times New Roman" w:cs="Times New Roman"/>
          <w:bCs/>
          <w:noProof/>
          <w:sz w:val="20"/>
          <w:szCs w:val="20"/>
        </w:rPr>
        <w:t>Praze</w:t>
      </w:r>
      <w:r w:rsidRPr="006053FB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6053FB">
        <w:rPr>
          <w:rFonts w:ascii="Times New Roman" w:hAnsi="Times New Roman" w:cs="Times New Roman"/>
          <w:sz w:val="20"/>
          <w:szCs w:val="20"/>
        </w:rPr>
        <w:t xml:space="preserve"> </w:t>
      </w:r>
      <w:r w:rsidRPr="006053FB">
        <w:rPr>
          <w:rFonts w:ascii="Times New Roman" w:hAnsi="Times New Roman" w:cs="Times New Roman"/>
          <w:sz w:val="20"/>
          <w:szCs w:val="20"/>
        </w:rPr>
        <w:fldChar w:fldCharType="begin"/>
      </w:r>
      <w:r w:rsidRPr="006053FB">
        <w:rPr>
          <w:rFonts w:ascii="Times New Roman" w:hAnsi="Times New Roman" w:cs="Times New Roman"/>
          <w:sz w:val="20"/>
          <w:szCs w:val="20"/>
        </w:rPr>
        <w:instrText xml:space="preserve"> TIME \@ "d. MMMM yyyy" </w:instrText>
      </w:r>
      <w:r w:rsidRPr="006053FB">
        <w:rPr>
          <w:rFonts w:ascii="Times New Roman" w:hAnsi="Times New Roman" w:cs="Times New Roman"/>
          <w:sz w:val="20"/>
          <w:szCs w:val="20"/>
        </w:rPr>
        <w:fldChar w:fldCharType="separate"/>
      </w:r>
      <w:r w:rsidR="00CE0A8F">
        <w:rPr>
          <w:rFonts w:ascii="Times New Roman" w:hAnsi="Times New Roman" w:cs="Times New Roman"/>
          <w:noProof/>
          <w:sz w:val="20"/>
          <w:szCs w:val="20"/>
        </w:rPr>
        <w:t>14. listopadu 2022</w:t>
      </w:r>
      <w:r w:rsidRPr="006053FB">
        <w:rPr>
          <w:rFonts w:ascii="Times New Roman" w:hAnsi="Times New Roman" w:cs="Times New Roman"/>
          <w:sz w:val="20"/>
          <w:szCs w:val="20"/>
        </w:rPr>
        <w:fldChar w:fldCharType="end"/>
      </w:r>
      <w:r w:rsidRPr="006053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268CAF34" w14:textId="77777777" w:rsidR="007F35A9" w:rsidRPr="006053FB" w:rsidRDefault="007F35A9" w:rsidP="004D583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93A0434" w14:textId="5A09DBA1" w:rsidR="004D5836" w:rsidRPr="006053FB" w:rsidRDefault="004D5836" w:rsidP="007F35A9">
      <w:pPr>
        <w:tabs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53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F35A9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26DB1BC6" w14:textId="77777777" w:rsidR="004D5836" w:rsidRPr="006053FB" w:rsidRDefault="004D5836" w:rsidP="004D5836">
      <w:pPr>
        <w:tabs>
          <w:tab w:val="left" w:pos="9612"/>
        </w:tabs>
        <w:rPr>
          <w:rFonts w:ascii="Times New Roman" w:hAnsi="Times New Roman" w:cs="Times New Roman"/>
          <w:sz w:val="20"/>
          <w:szCs w:val="20"/>
        </w:rPr>
      </w:pPr>
    </w:p>
    <w:sectPr w:rsidR="004D5836" w:rsidRPr="006053FB" w:rsidSect="004D5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E977" w14:textId="77777777" w:rsidR="004A2088" w:rsidRDefault="004A2088" w:rsidP="00787CA9">
      <w:pPr>
        <w:spacing w:after="0" w:line="240" w:lineRule="auto"/>
      </w:pPr>
      <w:r>
        <w:separator/>
      </w:r>
    </w:p>
  </w:endnote>
  <w:endnote w:type="continuationSeparator" w:id="0">
    <w:p w14:paraId="41595F8D" w14:textId="77777777" w:rsidR="004A2088" w:rsidRDefault="004A2088" w:rsidP="0078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bert CEZ">
    <w:altName w:val="Calibri"/>
    <w:charset w:val="EE"/>
    <w:family w:val="auto"/>
    <w:pitch w:val="variable"/>
    <w:sig w:usb0="A10000FF" w:usb1="00006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7C22" w14:textId="77777777" w:rsidR="004A2088" w:rsidRDefault="004A2088" w:rsidP="00787CA9">
      <w:pPr>
        <w:spacing w:after="0" w:line="240" w:lineRule="auto"/>
      </w:pPr>
      <w:r>
        <w:separator/>
      </w:r>
    </w:p>
  </w:footnote>
  <w:footnote w:type="continuationSeparator" w:id="0">
    <w:p w14:paraId="593BB8FC" w14:textId="77777777" w:rsidR="004A2088" w:rsidRDefault="004A2088" w:rsidP="0078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40C"/>
    <w:multiLevelType w:val="hybridMultilevel"/>
    <w:tmpl w:val="11625D5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76A"/>
    <w:multiLevelType w:val="hybridMultilevel"/>
    <w:tmpl w:val="9D229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5D8B"/>
    <w:multiLevelType w:val="hybridMultilevel"/>
    <w:tmpl w:val="01FEB1A4"/>
    <w:lvl w:ilvl="0" w:tplc="CA409A46">
      <w:numFmt w:val="bullet"/>
      <w:lvlText w:val="-"/>
      <w:lvlJc w:val="left"/>
      <w:pPr>
        <w:ind w:left="720" w:hanging="360"/>
      </w:pPr>
      <w:rPr>
        <w:rFonts w:ascii="Roobert CEZ" w:eastAsiaTheme="minorHAnsi" w:hAnsi="Roobert CEZ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0C2E"/>
    <w:multiLevelType w:val="hybridMultilevel"/>
    <w:tmpl w:val="B64AB238"/>
    <w:lvl w:ilvl="0" w:tplc="9962ED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4618"/>
    <w:multiLevelType w:val="hybridMultilevel"/>
    <w:tmpl w:val="9D229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5E32"/>
    <w:multiLevelType w:val="hybridMultilevel"/>
    <w:tmpl w:val="9D229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3310"/>
    <w:multiLevelType w:val="hybridMultilevel"/>
    <w:tmpl w:val="BD98E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00417"/>
    <w:multiLevelType w:val="hybridMultilevel"/>
    <w:tmpl w:val="1494B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5D47"/>
    <w:multiLevelType w:val="hybridMultilevel"/>
    <w:tmpl w:val="9D229B32"/>
    <w:lvl w:ilvl="0" w:tplc="B1967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E02E8"/>
    <w:multiLevelType w:val="hybridMultilevel"/>
    <w:tmpl w:val="9D229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E1A93"/>
    <w:multiLevelType w:val="hybridMultilevel"/>
    <w:tmpl w:val="52BC7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9060D"/>
    <w:multiLevelType w:val="hybridMultilevel"/>
    <w:tmpl w:val="854C27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B25A8"/>
    <w:multiLevelType w:val="hybridMultilevel"/>
    <w:tmpl w:val="6B8431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121590"/>
    <w:multiLevelType w:val="hybridMultilevel"/>
    <w:tmpl w:val="9D229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F6EA0"/>
    <w:multiLevelType w:val="hybridMultilevel"/>
    <w:tmpl w:val="922E95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69413">
    <w:abstractNumId w:val="10"/>
  </w:num>
  <w:num w:numId="2" w16cid:durableId="895817971">
    <w:abstractNumId w:val="11"/>
  </w:num>
  <w:num w:numId="3" w16cid:durableId="661008287">
    <w:abstractNumId w:val="7"/>
  </w:num>
  <w:num w:numId="4" w16cid:durableId="1461992343">
    <w:abstractNumId w:val="6"/>
  </w:num>
  <w:num w:numId="5" w16cid:durableId="1094207300">
    <w:abstractNumId w:val="14"/>
  </w:num>
  <w:num w:numId="6" w16cid:durableId="1045955819">
    <w:abstractNumId w:val="12"/>
  </w:num>
  <w:num w:numId="7" w16cid:durableId="474757422">
    <w:abstractNumId w:val="0"/>
  </w:num>
  <w:num w:numId="8" w16cid:durableId="651325307">
    <w:abstractNumId w:val="8"/>
  </w:num>
  <w:num w:numId="9" w16cid:durableId="1927105280">
    <w:abstractNumId w:val="5"/>
  </w:num>
  <w:num w:numId="10" w16cid:durableId="1978367041">
    <w:abstractNumId w:val="13"/>
  </w:num>
  <w:num w:numId="11" w16cid:durableId="1502156018">
    <w:abstractNumId w:val="4"/>
  </w:num>
  <w:num w:numId="12" w16cid:durableId="885723196">
    <w:abstractNumId w:val="9"/>
  </w:num>
  <w:num w:numId="13" w16cid:durableId="2099401354">
    <w:abstractNumId w:val="1"/>
  </w:num>
  <w:num w:numId="14" w16cid:durableId="1164127997">
    <w:abstractNumId w:val="3"/>
  </w:num>
  <w:num w:numId="15" w16cid:durableId="320087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36"/>
    <w:rsid w:val="00055282"/>
    <w:rsid w:val="000560CC"/>
    <w:rsid w:val="0008155F"/>
    <w:rsid w:val="000A65C8"/>
    <w:rsid w:val="000D1073"/>
    <w:rsid w:val="00261319"/>
    <w:rsid w:val="00297F10"/>
    <w:rsid w:val="002B7885"/>
    <w:rsid w:val="002C3651"/>
    <w:rsid w:val="002D0196"/>
    <w:rsid w:val="00311E81"/>
    <w:rsid w:val="00312417"/>
    <w:rsid w:val="0039368C"/>
    <w:rsid w:val="0040676F"/>
    <w:rsid w:val="0042161D"/>
    <w:rsid w:val="004A2088"/>
    <w:rsid w:val="004D0616"/>
    <w:rsid w:val="004D11C4"/>
    <w:rsid w:val="004D5836"/>
    <w:rsid w:val="0054051B"/>
    <w:rsid w:val="005E6758"/>
    <w:rsid w:val="005F2892"/>
    <w:rsid w:val="005F62DE"/>
    <w:rsid w:val="006053FB"/>
    <w:rsid w:val="00605711"/>
    <w:rsid w:val="00623319"/>
    <w:rsid w:val="00697C6E"/>
    <w:rsid w:val="007611F4"/>
    <w:rsid w:val="00787CA9"/>
    <w:rsid w:val="007A78F1"/>
    <w:rsid w:val="007B1F6B"/>
    <w:rsid w:val="007F35A9"/>
    <w:rsid w:val="00802DA6"/>
    <w:rsid w:val="00810103"/>
    <w:rsid w:val="00895A09"/>
    <w:rsid w:val="008B29E7"/>
    <w:rsid w:val="008B3A69"/>
    <w:rsid w:val="008B5672"/>
    <w:rsid w:val="008D22AD"/>
    <w:rsid w:val="00904DCA"/>
    <w:rsid w:val="0090787A"/>
    <w:rsid w:val="0098076F"/>
    <w:rsid w:val="009C410B"/>
    <w:rsid w:val="009C6C0C"/>
    <w:rsid w:val="00A60CCE"/>
    <w:rsid w:val="00A942EF"/>
    <w:rsid w:val="00A94501"/>
    <w:rsid w:val="00AA078D"/>
    <w:rsid w:val="00AE7C1E"/>
    <w:rsid w:val="00B05D84"/>
    <w:rsid w:val="00B110F1"/>
    <w:rsid w:val="00B360EA"/>
    <w:rsid w:val="00B7505F"/>
    <w:rsid w:val="00B95CA6"/>
    <w:rsid w:val="00B970B1"/>
    <w:rsid w:val="00BE1BDB"/>
    <w:rsid w:val="00C31C34"/>
    <w:rsid w:val="00C93675"/>
    <w:rsid w:val="00CA328D"/>
    <w:rsid w:val="00CE0A8F"/>
    <w:rsid w:val="00CE399C"/>
    <w:rsid w:val="00CF369F"/>
    <w:rsid w:val="00CF6D81"/>
    <w:rsid w:val="00D0576D"/>
    <w:rsid w:val="00D46D74"/>
    <w:rsid w:val="00D751D0"/>
    <w:rsid w:val="00D86DCA"/>
    <w:rsid w:val="00DE56AC"/>
    <w:rsid w:val="00E3575F"/>
    <w:rsid w:val="00E463FA"/>
    <w:rsid w:val="00E537D7"/>
    <w:rsid w:val="00ED019D"/>
    <w:rsid w:val="00ED1559"/>
    <w:rsid w:val="00F1100D"/>
    <w:rsid w:val="00F23C4E"/>
    <w:rsid w:val="00F43362"/>
    <w:rsid w:val="00F76843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FEF6"/>
  <w15:chartTrackingRefBased/>
  <w15:docId w15:val="{A5726CA5-0207-4AA9-A19D-84EB54C4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4D583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5836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4D5836"/>
    <w:rPr>
      <w:rFonts w:ascii="Arial" w:hAnsi="Arial" w:cs="Arial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4D5836"/>
    <w:pPr>
      <w:suppressAutoHyphens/>
      <w:spacing w:after="0" w:line="240" w:lineRule="auto"/>
      <w:ind w:left="720"/>
      <w:contextualSpacing/>
    </w:pPr>
    <w:rPr>
      <w:rFonts w:ascii="Arial" w:hAnsi="Arial" w:cs="Arial"/>
      <w:sz w:val="24"/>
      <w:lang w:eastAsia="ar-SA"/>
    </w:rPr>
  </w:style>
  <w:style w:type="paragraph" w:customStyle="1" w:styleId="Popisky">
    <w:name w:val="Popisky"/>
    <w:rsid w:val="004D58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ListParagraphChar">
    <w:name w:val="List Paragraph Char"/>
    <w:link w:val="Odstavecseseznamem1"/>
    <w:locked/>
    <w:rsid w:val="004D5836"/>
    <w:rPr>
      <w:rFonts w:ascii="Calibri" w:hAnsi="Calibri" w:cs="Calibri"/>
    </w:rPr>
  </w:style>
  <w:style w:type="paragraph" w:customStyle="1" w:styleId="Odstavecseseznamem1">
    <w:name w:val="Odstavec se seznamem1"/>
    <w:basedOn w:val="Normln"/>
    <w:link w:val="ListParagraphChar"/>
    <w:rsid w:val="004D5836"/>
    <w:pPr>
      <w:spacing w:line="256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unhideWhenUsed/>
    <w:rsid w:val="004D58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D5836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58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5836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AE7C1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C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C1E"/>
    <w:rPr>
      <w:rFonts w:ascii="Times New Roman" w:hAnsi="Times New Roman" w:cs="Times New Roman"/>
      <w:sz w:val="18"/>
      <w:szCs w:val="18"/>
    </w:rPr>
  </w:style>
  <w:style w:type="character" w:styleId="Znakapoznpodarou">
    <w:name w:val="footnote reference"/>
    <w:uiPriority w:val="99"/>
    <w:semiHidden/>
    <w:rsid w:val="00787CA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87CA9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7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CF6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F6D81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Ševčík</dc:creator>
  <cp:keywords/>
  <dc:description/>
  <cp:lastModifiedBy>Jan Zikeš</cp:lastModifiedBy>
  <cp:revision>7</cp:revision>
  <dcterms:created xsi:type="dcterms:W3CDTF">2022-11-14T11:07:00Z</dcterms:created>
  <dcterms:modified xsi:type="dcterms:W3CDTF">2022-11-14T11:57:00Z</dcterms:modified>
</cp:coreProperties>
</file>